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9" w:rsidRPr="00D13B6C" w:rsidRDefault="006C05B0" w:rsidP="00D13B6C">
      <w:pPr>
        <w:jc w:val="right"/>
        <w:rPr>
          <w:rFonts w:ascii="Arial-BoldMT" w:hAnsi="Arial-BoldMT" w:cs="Arial-BoldMT"/>
          <w:b/>
          <w:bCs/>
          <w:sz w:val="26"/>
          <w:szCs w:val="24"/>
        </w:rPr>
      </w:pPr>
      <w:r w:rsidRPr="00D13B6C">
        <w:rPr>
          <w:rFonts w:ascii="Arial-BoldMT" w:hAnsi="Arial-BoldMT" w:cs="Arial-BoldMT"/>
          <w:b/>
          <w:bCs/>
          <w:sz w:val="26"/>
          <w:szCs w:val="24"/>
        </w:rPr>
        <w:t>Appendix A</w:t>
      </w:r>
    </w:p>
    <w:p w:rsidR="00D13B6C" w:rsidRDefault="006C05B0" w:rsidP="00D13B6C"/>
    <w:p w:rsidR="00D13B6C" w:rsidRPr="00D13B6C" w:rsidRDefault="006C05B0" w:rsidP="00D13B6C">
      <w:pPr>
        <w:pStyle w:val="Heading2"/>
        <w:tabs>
          <w:tab w:val="left" w:pos="284"/>
          <w:tab w:val="num" w:pos="567"/>
        </w:tabs>
        <w:autoSpaceDE/>
        <w:autoSpaceDN/>
        <w:adjustRightInd/>
        <w:spacing w:before="240" w:after="240" w:line="360" w:lineRule="auto"/>
        <w:ind w:left="567" w:hanging="567"/>
      </w:pPr>
      <w:r>
        <w:t>Selection / Award Criteria to be applied (suggested)</w:t>
      </w:r>
    </w:p>
    <w:p w:rsidR="00D13B6C" w:rsidRPr="00D13B6C" w:rsidRDefault="006C05B0" w:rsidP="00D13B6C">
      <w:pPr>
        <w:rPr>
          <w:rFonts w:ascii="Arial" w:hAnsi="Arial" w:cs="Arial"/>
          <w:szCs w:val="24"/>
          <w:u w:val="single"/>
          <w:lang w:eastAsia="en-GB"/>
        </w:rPr>
      </w:pPr>
      <w:r w:rsidRPr="00D13B6C">
        <w:rPr>
          <w:rFonts w:ascii="Arial" w:hAnsi="Arial" w:cs="Arial"/>
          <w:szCs w:val="24"/>
          <w:u w:val="single"/>
          <w:lang w:eastAsia="en-GB"/>
        </w:rPr>
        <w:t>Part 1 – 3 quote process</w:t>
      </w:r>
    </w:p>
    <w:p w:rsidR="00D13B6C" w:rsidRPr="00D13B6C" w:rsidRDefault="006C05B0" w:rsidP="00D13B6C">
      <w:pPr>
        <w:rPr>
          <w:rFonts w:ascii="Arial" w:hAnsi="Arial" w:cs="Arial"/>
          <w:szCs w:val="24"/>
          <w:lang w:eastAsia="en-GB"/>
        </w:rPr>
      </w:pPr>
      <w:r w:rsidRPr="00D13B6C">
        <w:rPr>
          <w:rFonts w:ascii="Arial" w:hAnsi="Arial" w:cs="Arial"/>
          <w:szCs w:val="24"/>
          <w:lang w:eastAsia="en-GB"/>
        </w:rPr>
        <w:t xml:space="preserve">LCPF have stipulated that they would like to appoint an organisation who fully understands changes in LGPS investments and how this impacts on the service required. Therefore they have stated that they would like the process to be based on: </w:t>
      </w:r>
    </w:p>
    <w:p w:rsidR="00D13B6C" w:rsidRPr="00D13B6C" w:rsidRDefault="006C05B0" w:rsidP="00D13B6C">
      <w:pPr>
        <w:pStyle w:val="ListParagraph"/>
        <w:numPr>
          <w:ilvl w:val="0"/>
          <w:numId w:val="3"/>
        </w:numPr>
        <w:rPr>
          <w:rFonts w:ascii="Arial" w:hAnsi="Arial" w:cs="Arial"/>
          <w:szCs w:val="24"/>
          <w:lang w:eastAsia="en-GB"/>
        </w:rPr>
      </w:pPr>
      <w:r w:rsidRPr="00D13B6C">
        <w:rPr>
          <w:rFonts w:ascii="Arial" w:hAnsi="Arial" w:cs="Arial"/>
          <w:szCs w:val="24"/>
          <w:lang w:eastAsia="en-GB"/>
        </w:rPr>
        <w:t>75% Quality</w:t>
      </w:r>
    </w:p>
    <w:p w:rsidR="00D13B6C" w:rsidRPr="00D13B6C" w:rsidRDefault="006C05B0" w:rsidP="00D13B6C">
      <w:pPr>
        <w:pStyle w:val="ListParagraph"/>
        <w:numPr>
          <w:ilvl w:val="0"/>
          <w:numId w:val="3"/>
        </w:numPr>
        <w:rPr>
          <w:rFonts w:ascii="Arial" w:hAnsi="Arial" w:cs="Arial"/>
          <w:szCs w:val="24"/>
          <w:lang w:eastAsia="en-GB"/>
        </w:rPr>
      </w:pPr>
      <w:r w:rsidRPr="00D13B6C">
        <w:rPr>
          <w:rFonts w:ascii="Arial" w:hAnsi="Arial" w:cs="Arial"/>
          <w:szCs w:val="24"/>
          <w:lang w:eastAsia="en-GB"/>
        </w:rPr>
        <w:t>25</w:t>
      </w:r>
      <w:r w:rsidRPr="00D13B6C">
        <w:rPr>
          <w:rFonts w:ascii="Arial" w:hAnsi="Arial" w:cs="Arial"/>
          <w:szCs w:val="24"/>
          <w:lang w:eastAsia="en-GB"/>
        </w:rPr>
        <w:t>% Price.</w:t>
      </w:r>
    </w:p>
    <w:p w:rsidR="00D13B6C" w:rsidRPr="00D13B6C" w:rsidRDefault="006C05B0" w:rsidP="00D13B6C">
      <w:pPr>
        <w:rPr>
          <w:rFonts w:ascii="Arial" w:hAnsi="Arial" w:cs="Arial"/>
          <w:szCs w:val="24"/>
          <w:lang w:eastAsia="en-GB"/>
        </w:rPr>
      </w:pPr>
    </w:p>
    <w:p w:rsidR="00D13B6C" w:rsidRPr="00D13B6C" w:rsidRDefault="006C05B0" w:rsidP="00D13B6C">
      <w:pPr>
        <w:rPr>
          <w:rFonts w:ascii="Arial" w:hAnsi="Arial" w:cs="Arial"/>
          <w:szCs w:val="24"/>
          <w:u w:val="single"/>
          <w:lang w:eastAsia="en-GB"/>
        </w:rPr>
      </w:pPr>
      <w:r w:rsidRPr="00D13B6C">
        <w:rPr>
          <w:rFonts w:ascii="Arial" w:hAnsi="Arial" w:cs="Arial"/>
          <w:szCs w:val="24"/>
          <w:u w:val="single"/>
          <w:lang w:eastAsia="en-GB"/>
        </w:rPr>
        <w:t>Part 2 – Open OJEU tender</w:t>
      </w:r>
    </w:p>
    <w:p w:rsidR="00D13B6C" w:rsidRPr="00D13B6C" w:rsidRDefault="006C05B0" w:rsidP="00D13B6C">
      <w:pPr>
        <w:rPr>
          <w:rFonts w:ascii="Arial" w:hAnsi="Arial" w:cs="Arial"/>
          <w:szCs w:val="24"/>
          <w:lang w:eastAsia="en-GB"/>
        </w:rPr>
      </w:pPr>
      <w:r w:rsidRPr="00D13B6C">
        <w:rPr>
          <w:rFonts w:ascii="Arial" w:hAnsi="Arial" w:cs="Arial"/>
          <w:szCs w:val="24"/>
          <w:lang w:eastAsia="en-GB"/>
        </w:rPr>
        <w:t>The criteria is to be decided in consultation with the appointed external advisor.</w:t>
      </w:r>
    </w:p>
    <w:p w:rsidR="00D13B6C" w:rsidRDefault="006C05B0" w:rsidP="00D13B6C"/>
    <w:p w:rsidR="00D13B6C" w:rsidRDefault="006C05B0" w:rsidP="00D13B6C">
      <w:pPr>
        <w:pStyle w:val="Heading2"/>
        <w:tabs>
          <w:tab w:val="left" w:pos="284"/>
          <w:tab w:val="num" w:pos="567"/>
        </w:tabs>
        <w:autoSpaceDE/>
        <w:autoSpaceDN/>
        <w:adjustRightInd/>
        <w:spacing w:before="240" w:after="240" w:line="360" w:lineRule="auto"/>
        <w:ind w:left="567" w:hanging="567"/>
      </w:pPr>
      <w:r>
        <w:t>Proposed Timescales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2916"/>
      </w:tblGrid>
      <w:tr w:rsidR="000964FF" w:rsidTr="006C05B0">
        <w:tc>
          <w:tcPr>
            <w:tcW w:w="3383" w:type="pct"/>
            <w:shd w:val="clear" w:color="auto" w:fill="D31145"/>
            <w:vAlign w:val="center"/>
          </w:tcPr>
          <w:p w:rsidR="00D13B6C" w:rsidRPr="00D13B6C" w:rsidRDefault="006C05B0" w:rsidP="00E10024">
            <w:pPr>
              <w:spacing w:line="360" w:lineRule="auto"/>
              <w:jc w:val="center"/>
              <w:rPr>
                <w:rFonts w:ascii="Arial" w:hAnsi="Arial" w:cs="Arial"/>
                <w:b/>
                <w:color w:val="FFFFFF"/>
                <w:sz w:val="24"/>
                <w:szCs w:val="24"/>
              </w:rPr>
            </w:pPr>
            <w:r w:rsidRPr="00D13B6C">
              <w:rPr>
                <w:rFonts w:ascii="Arial" w:hAnsi="Arial" w:cs="Arial"/>
                <w:b/>
                <w:color w:val="FFFFFF"/>
                <w:sz w:val="24"/>
                <w:szCs w:val="24"/>
              </w:rPr>
              <w:t xml:space="preserve">Action </w:t>
            </w:r>
          </w:p>
        </w:tc>
        <w:tc>
          <w:tcPr>
            <w:tcW w:w="1617" w:type="pct"/>
            <w:shd w:val="clear" w:color="auto" w:fill="D31145"/>
            <w:vAlign w:val="center"/>
          </w:tcPr>
          <w:p w:rsidR="00D13B6C" w:rsidRPr="00D13B6C" w:rsidRDefault="006C05B0" w:rsidP="00E10024">
            <w:pPr>
              <w:spacing w:line="360" w:lineRule="auto"/>
              <w:jc w:val="center"/>
              <w:rPr>
                <w:rFonts w:ascii="Arial" w:hAnsi="Arial" w:cs="Arial"/>
                <w:b/>
                <w:color w:val="FFFFFF"/>
                <w:sz w:val="24"/>
                <w:szCs w:val="24"/>
              </w:rPr>
            </w:pPr>
            <w:r w:rsidRPr="00D13B6C">
              <w:rPr>
                <w:rFonts w:ascii="Arial" w:hAnsi="Arial" w:cs="Arial"/>
                <w:b/>
                <w:color w:val="FFFFFF"/>
                <w:sz w:val="24"/>
                <w:szCs w:val="24"/>
              </w:rPr>
              <w:t>Date</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Initial Stakeholder project commencement meetings</w:t>
            </w:r>
          </w:p>
          <w:p w:rsidR="00D13B6C" w:rsidRPr="00D13B6C" w:rsidRDefault="006C05B0" w:rsidP="00E10024">
            <w:pPr>
              <w:spacing w:line="360" w:lineRule="auto"/>
              <w:rPr>
                <w:rFonts w:ascii="Arial" w:hAnsi="Arial" w:cs="Arial"/>
                <w:szCs w:val="24"/>
              </w:rPr>
            </w:pP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1</w:t>
            </w:r>
            <w:r w:rsidRPr="00D13B6C">
              <w:rPr>
                <w:rFonts w:ascii="Arial" w:hAnsi="Arial" w:cs="Arial"/>
                <w:szCs w:val="24"/>
                <w:vertAlign w:val="superscript"/>
              </w:rPr>
              <w:t>st</w:t>
            </w:r>
            <w:r w:rsidRPr="00D13B6C">
              <w:rPr>
                <w:rFonts w:ascii="Arial" w:hAnsi="Arial" w:cs="Arial"/>
                <w:szCs w:val="24"/>
              </w:rPr>
              <w:t xml:space="preserve"> August 2017</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(LCC internal orders) – Deadline</w:t>
            </w:r>
            <w:r w:rsidRPr="00D13B6C">
              <w:rPr>
                <w:rFonts w:ascii="Arial" w:hAnsi="Arial" w:cs="Arial"/>
                <w:szCs w:val="24"/>
              </w:rPr>
              <w:t xml:space="preserve"> Report Strategy to LCC Pension Committee to Democratic Services (Must be signed off by procurement, legal and finance teams previously)</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1</w:t>
            </w:r>
            <w:r w:rsidRPr="00D13B6C">
              <w:rPr>
                <w:rFonts w:ascii="Arial" w:hAnsi="Arial" w:cs="Arial"/>
                <w:szCs w:val="24"/>
                <w:vertAlign w:val="superscript"/>
              </w:rPr>
              <w:t>st</w:t>
            </w:r>
            <w:r w:rsidRPr="00D13B6C">
              <w:rPr>
                <w:rFonts w:ascii="Arial" w:hAnsi="Arial" w:cs="Arial"/>
                <w:szCs w:val="24"/>
              </w:rPr>
              <w:t xml:space="preserve"> September 2017</w:t>
            </w:r>
          </w:p>
        </w:tc>
      </w:tr>
      <w:tr w:rsidR="000964FF" w:rsidTr="006C05B0">
        <w:tc>
          <w:tcPr>
            <w:tcW w:w="3383" w:type="pct"/>
          </w:tcPr>
          <w:p w:rsidR="00D13B6C" w:rsidRPr="00D13B6C" w:rsidRDefault="006C05B0" w:rsidP="00D13B6C">
            <w:pPr>
              <w:spacing w:line="360" w:lineRule="auto"/>
              <w:rPr>
                <w:rFonts w:ascii="Arial" w:hAnsi="Arial" w:cs="Arial"/>
                <w:szCs w:val="24"/>
              </w:rPr>
            </w:pPr>
            <w:r w:rsidRPr="00D13B6C">
              <w:rPr>
                <w:rFonts w:ascii="Arial" w:hAnsi="Arial" w:cs="Arial"/>
                <w:szCs w:val="24"/>
              </w:rPr>
              <w:t xml:space="preserve">Pension Committee meeting </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15</w:t>
            </w:r>
            <w:r w:rsidRPr="00D13B6C">
              <w:rPr>
                <w:rFonts w:ascii="Arial" w:hAnsi="Arial" w:cs="Arial"/>
                <w:szCs w:val="24"/>
                <w:vertAlign w:val="superscript"/>
              </w:rPr>
              <w:t>th</w:t>
            </w:r>
            <w:r w:rsidRPr="00D13B6C">
              <w:rPr>
                <w:rFonts w:ascii="Arial" w:hAnsi="Arial" w:cs="Arial"/>
                <w:szCs w:val="24"/>
              </w:rPr>
              <w:t xml:space="preserve"> September 2017</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3 Quote Procedure Launched</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18</w:t>
            </w:r>
            <w:r w:rsidRPr="00D13B6C">
              <w:rPr>
                <w:rFonts w:ascii="Arial" w:hAnsi="Arial" w:cs="Arial"/>
                <w:szCs w:val="24"/>
                <w:vertAlign w:val="superscript"/>
              </w:rPr>
              <w:t>th</w:t>
            </w:r>
            <w:r w:rsidRPr="00D13B6C">
              <w:rPr>
                <w:rFonts w:ascii="Arial" w:hAnsi="Arial" w:cs="Arial"/>
                <w:szCs w:val="24"/>
              </w:rPr>
              <w:t xml:space="preserve"> September 2017</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 xml:space="preserve">3 </w:t>
            </w:r>
            <w:r w:rsidRPr="00D13B6C">
              <w:rPr>
                <w:rFonts w:ascii="Arial" w:hAnsi="Arial" w:cs="Arial"/>
                <w:szCs w:val="24"/>
              </w:rPr>
              <w:t>Quote</w:t>
            </w:r>
            <w:r>
              <w:rPr>
                <w:rFonts w:ascii="Arial" w:hAnsi="Arial" w:cs="Arial"/>
                <w:szCs w:val="24"/>
              </w:rPr>
              <w:t xml:space="preserve"> Responses</w:t>
            </w:r>
            <w:r w:rsidRPr="00D13B6C">
              <w:rPr>
                <w:rFonts w:ascii="Arial" w:hAnsi="Arial" w:cs="Arial"/>
                <w:szCs w:val="24"/>
              </w:rPr>
              <w:t xml:space="preserve"> Deadline</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2</w:t>
            </w:r>
            <w:r w:rsidRPr="00D13B6C">
              <w:rPr>
                <w:rFonts w:ascii="Arial" w:hAnsi="Arial" w:cs="Arial"/>
                <w:szCs w:val="24"/>
                <w:vertAlign w:val="superscript"/>
              </w:rPr>
              <w:t>nd</w:t>
            </w:r>
            <w:r w:rsidRPr="00D13B6C">
              <w:rPr>
                <w:rFonts w:ascii="Arial" w:hAnsi="Arial" w:cs="Arial"/>
                <w:szCs w:val="24"/>
              </w:rPr>
              <w:t xml:space="preserve"> October 2017</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Evaluation</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2</w:t>
            </w:r>
            <w:r w:rsidRPr="00D13B6C">
              <w:rPr>
                <w:rFonts w:ascii="Arial" w:hAnsi="Arial" w:cs="Arial"/>
                <w:szCs w:val="24"/>
                <w:vertAlign w:val="superscript"/>
              </w:rPr>
              <w:t>nd</w:t>
            </w:r>
            <w:r w:rsidRPr="00D13B6C">
              <w:rPr>
                <w:rFonts w:ascii="Arial" w:hAnsi="Arial" w:cs="Arial"/>
                <w:szCs w:val="24"/>
              </w:rPr>
              <w:t xml:space="preserve"> to 5</w:t>
            </w:r>
            <w:r w:rsidRPr="00D13B6C">
              <w:rPr>
                <w:rFonts w:ascii="Arial" w:hAnsi="Arial" w:cs="Arial"/>
                <w:szCs w:val="24"/>
                <w:vertAlign w:val="superscript"/>
              </w:rPr>
              <w:t>th</w:t>
            </w:r>
            <w:r w:rsidRPr="00D13B6C">
              <w:rPr>
                <w:rFonts w:ascii="Arial" w:hAnsi="Arial" w:cs="Arial"/>
                <w:szCs w:val="24"/>
              </w:rPr>
              <w:t xml:space="preserve"> October 2017</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Award</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6</w:t>
            </w:r>
            <w:r w:rsidRPr="00D13B6C">
              <w:rPr>
                <w:rFonts w:ascii="Arial" w:hAnsi="Arial" w:cs="Arial"/>
                <w:szCs w:val="24"/>
                <w:vertAlign w:val="superscript"/>
              </w:rPr>
              <w:t>th</w:t>
            </w:r>
            <w:r w:rsidRPr="00D13B6C">
              <w:rPr>
                <w:rFonts w:ascii="Arial" w:hAnsi="Arial" w:cs="Arial"/>
                <w:szCs w:val="24"/>
              </w:rPr>
              <w:t xml:space="preserve"> October 2017</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Preparation of Tender Documentation with External Advisor and Legal Assistance</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9</w:t>
            </w:r>
            <w:r w:rsidRPr="00D13B6C">
              <w:rPr>
                <w:rFonts w:ascii="Arial" w:hAnsi="Arial" w:cs="Arial"/>
                <w:szCs w:val="24"/>
                <w:vertAlign w:val="superscript"/>
              </w:rPr>
              <w:t>th</w:t>
            </w:r>
            <w:r w:rsidRPr="00D13B6C">
              <w:rPr>
                <w:rFonts w:ascii="Arial" w:hAnsi="Arial" w:cs="Arial"/>
                <w:szCs w:val="24"/>
              </w:rPr>
              <w:t xml:space="preserve"> October to 1</w:t>
            </w:r>
            <w:r w:rsidRPr="00D13B6C">
              <w:rPr>
                <w:rFonts w:ascii="Arial" w:hAnsi="Arial" w:cs="Arial"/>
                <w:szCs w:val="24"/>
                <w:vertAlign w:val="superscript"/>
              </w:rPr>
              <w:t>st</w:t>
            </w:r>
            <w:r w:rsidRPr="00D13B6C">
              <w:rPr>
                <w:rFonts w:ascii="Arial" w:hAnsi="Arial" w:cs="Arial"/>
                <w:szCs w:val="24"/>
              </w:rPr>
              <w:t xml:space="preserve"> December 2017</w:t>
            </w:r>
          </w:p>
        </w:tc>
      </w:tr>
      <w:tr w:rsidR="000964FF" w:rsidTr="006C05B0">
        <w:tc>
          <w:tcPr>
            <w:tcW w:w="3383" w:type="pct"/>
          </w:tcPr>
          <w:p w:rsidR="00D13B6C" w:rsidRPr="00D13B6C" w:rsidRDefault="006C05B0" w:rsidP="006C05B0">
            <w:pPr>
              <w:spacing w:line="360" w:lineRule="auto"/>
              <w:rPr>
                <w:rFonts w:ascii="Arial" w:hAnsi="Arial" w:cs="Arial"/>
                <w:szCs w:val="24"/>
              </w:rPr>
            </w:pPr>
            <w:r w:rsidRPr="00D13B6C">
              <w:rPr>
                <w:rFonts w:ascii="Arial" w:hAnsi="Arial" w:cs="Arial"/>
                <w:szCs w:val="24"/>
              </w:rPr>
              <w:t xml:space="preserve">ITT Documentation and OJEU Notice </w:t>
            </w:r>
            <w:r w:rsidRPr="00D13B6C">
              <w:rPr>
                <w:rFonts w:ascii="Arial" w:hAnsi="Arial" w:cs="Arial"/>
                <w:szCs w:val="24"/>
              </w:rPr>
              <w:t>Released</w:t>
            </w:r>
            <w:r>
              <w:rPr>
                <w:rFonts w:ascii="Arial" w:hAnsi="Arial" w:cs="Arial"/>
                <w:szCs w:val="24"/>
              </w:rPr>
              <w:t xml:space="preserve"> </w:t>
            </w:r>
            <w:bookmarkStart w:id="0" w:name="_GoBack"/>
            <w:bookmarkEnd w:id="0"/>
            <w:r w:rsidRPr="00D13B6C">
              <w:rPr>
                <w:rFonts w:ascii="Arial" w:hAnsi="Arial" w:cs="Arial"/>
                <w:szCs w:val="24"/>
              </w:rPr>
              <w:t>(Deadline)</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8</w:t>
            </w:r>
            <w:r w:rsidRPr="00D13B6C">
              <w:rPr>
                <w:rFonts w:ascii="Arial" w:hAnsi="Arial" w:cs="Arial"/>
                <w:szCs w:val="24"/>
                <w:vertAlign w:val="superscript"/>
              </w:rPr>
              <w:t>th</w:t>
            </w:r>
            <w:r w:rsidRPr="00D13B6C">
              <w:rPr>
                <w:rFonts w:ascii="Arial" w:hAnsi="Arial" w:cs="Arial"/>
                <w:szCs w:val="24"/>
              </w:rPr>
              <w:t xml:space="preserve"> December 2017</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lastRenderedPageBreak/>
              <w:t>Deadline for Clarifications</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19</w:t>
            </w:r>
            <w:r w:rsidRPr="00D13B6C">
              <w:rPr>
                <w:rFonts w:ascii="Arial" w:hAnsi="Arial" w:cs="Arial"/>
                <w:szCs w:val="24"/>
                <w:vertAlign w:val="superscript"/>
              </w:rPr>
              <w:t>th</w:t>
            </w:r>
            <w:r w:rsidRPr="00D13B6C">
              <w:rPr>
                <w:rFonts w:ascii="Arial" w:hAnsi="Arial" w:cs="Arial"/>
                <w:szCs w:val="24"/>
              </w:rPr>
              <w:t xml:space="preserve"> January 2018</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Deadline for Tender Submissions</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26th January 2018</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Evaluation Period: Including Interviews</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29</w:t>
            </w:r>
            <w:r w:rsidRPr="00D13B6C">
              <w:rPr>
                <w:rFonts w:ascii="Arial" w:hAnsi="Arial" w:cs="Arial"/>
                <w:szCs w:val="24"/>
                <w:vertAlign w:val="superscript"/>
              </w:rPr>
              <w:t>th</w:t>
            </w:r>
            <w:r w:rsidRPr="00D13B6C">
              <w:rPr>
                <w:rFonts w:ascii="Arial" w:hAnsi="Arial" w:cs="Arial"/>
                <w:szCs w:val="24"/>
              </w:rPr>
              <w:t xml:space="preserve"> January to 16</w:t>
            </w:r>
            <w:r w:rsidRPr="00D13B6C">
              <w:rPr>
                <w:rFonts w:ascii="Arial" w:hAnsi="Arial" w:cs="Arial"/>
                <w:szCs w:val="24"/>
                <w:vertAlign w:val="superscript"/>
              </w:rPr>
              <w:t>th</w:t>
            </w:r>
            <w:r w:rsidRPr="00D13B6C">
              <w:rPr>
                <w:rFonts w:ascii="Arial" w:hAnsi="Arial" w:cs="Arial"/>
                <w:szCs w:val="24"/>
              </w:rPr>
              <w:t xml:space="preserve"> February 2018</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 xml:space="preserve">Finalisation of Award and Head of Service </w:t>
            </w:r>
            <w:r w:rsidRPr="00D13B6C">
              <w:rPr>
                <w:rFonts w:ascii="Arial" w:hAnsi="Arial" w:cs="Arial"/>
                <w:szCs w:val="24"/>
              </w:rPr>
              <w:t>Report</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19th to 23</w:t>
            </w:r>
            <w:r w:rsidRPr="00D13B6C">
              <w:rPr>
                <w:rFonts w:ascii="Arial" w:hAnsi="Arial" w:cs="Arial"/>
                <w:szCs w:val="24"/>
                <w:vertAlign w:val="superscript"/>
              </w:rPr>
              <w:t>rd</w:t>
            </w:r>
            <w:r w:rsidRPr="00D13B6C">
              <w:rPr>
                <w:rFonts w:ascii="Arial" w:hAnsi="Arial" w:cs="Arial"/>
                <w:szCs w:val="24"/>
              </w:rPr>
              <w:t xml:space="preserve"> February 2018</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Head of Service Authorisation of Award Deadline</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23</w:t>
            </w:r>
            <w:r w:rsidRPr="00D13B6C">
              <w:rPr>
                <w:rFonts w:ascii="Arial" w:hAnsi="Arial" w:cs="Arial"/>
                <w:szCs w:val="24"/>
                <w:vertAlign w:val="superscript"/>
              </w:rPr>
              <w:t>rd</w:t>
            </w:r>
            <w:r w:rsidRPr="00D13B6C">
              <w:rPr>
                <w:rFonts w:ascii="Arial" w:hAnsi="Arial" w:cs="Arial"/>
                <w:szCs w:val="24"/>
              </w:rPr>
              <w:t xml:space="preserve"> February 2018</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Standstill Letters Released Deadline</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26</w:t>
            </w:r>
            <w:r w:rsidRPr="00D13B6C">
              <w:rPr>
                <w:rFonts w:ascii="Arial" w:hAnsi="Arial" w:cs="Arial"/>
                <w:szCs w:val="24"/>
                <w:vertAlign w:val="superscript"/>
              </w:rPr>
              <w:t>th</w:t>
            </w:r>
            <w:r w:rsidRPr="00D13B6C">
              <w:rPr>
                <w:rFonts w:ascii="Arial" w:hAnsi="Arial" w:cs="Arial"/>
                <w:szCs w:val="24"/>
              </w:rPr>
              <w:t xml:space="preserve"> February 2018</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Contract Award Deadline</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9</w:t>
            </w:r>
            <w:r w:rsidRPr="00D13B6C">
              <w:rPr>
                <w:rFonts w:ascii="Arial" w:hAnsi="Arial" w:cs="Arial"/>
                <w:szCs w:val="24"/>
                <w:vertAlign w:val="superscript"/>
              </w:rPr>
              <w:t>th</w:t>
            </w:r>
            <w:r w:rsidRPr="00D13B6C">
              <w:rPr>
                <w:rFonts w:ascii="Arial" w:hAnsi="Arial" w:cs="Arial"/>
                <w:szCs w:val="24"/>
              </w:rPr>
              <w:t xml:space="preserve"> March 2018</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Mobilisation</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3 Weeks</w:t>
            </w:r>
          </w:p>
        </w:tc>
      </w:tr>
      <w:tr w:rsidR="000964FF" w:rsidTr="006C05B0">
        <w:tc>
          <w:tcPr>
            <w:tcW w:w="3383"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Contract commencement date</w:t>
            </w:r>
          </w:p>
        </w:tc>
        <w:tc>
          <w:tcPr>
            <w:tcW w:w="1617" w:type="pct"/>
          </w:tcPr>
          <w:p w:rsidR="00D13B6C" w:rsidRPr="00D13B6C" w:rsidRDefault="006C05B0" w:rsidP="00E10024">
            <w:pPr>
              <w:spacing w:line="360" w:lineRule="auto"/>
              <w:rPr>
                <w:rFonts w:ascii="Arial" w:hAnsi="Arial" w:cs="Arial"/>
                <w:szCs w:val="24"/>
              </w:rPr>
            </w:pPr>
            <w:r w:rsidRPr="00D13B6C">
              <w:rPr>
                <w:rFonts w:ascii="Arial" w:hAnsi="Arial" w:cs="Arial"/>
                <w:szCs w:val="24"/>
              </w:rPr>
              <w:t>1</w:t>
            </w:r>
            <w:r w:rsidRPr="00D13B6C">
              <w:rPr>
                <w:rFonts w:ascii="Arial" w:hAnsi="Arial" w:cs="Arial"/>
                <w:szCs w:val="24"/>
                <w:vertAlign w:val="superscript"/>
              </w:rPr>
              <w:t>st</w:t>
            </w:r>
            <w:r w:rsidRPr="00D13B6C">
              <w:rPr>
                <w:rFonts w:ascii="Arial" w:hAnsi="Arial" w:cs="Arial"/>
                <w:szCs w:val="24"/>
              </w:rPr>
              <w:t xml:space="preserve"> April 2018</w:t>
            </w:r>
          </w:p>
        </w:tc>
      </w:tr>
    </w:tbl>
    <w:p w:rsidR="00D13B6C" w:rsidRDefault="006C05B0" w:rsidP="00D13B6C"/>
    <w:sectPr w:rsidR="00D13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54485"/>
    <w:multiLevelType w:val="hybridMultilevel"/>
    <w:tmpl w:val="47DE706A"/>
    <w:lvl w:ilvl="0" w:tplc="90CED106">
      <w:start w:val="2"/>
      <w:numFmt w:val="bullet"/>
      <w:lvlText w:val="-"/>
      <w:lvlJc w:val="left"/>
      <w:pPr>
        <w:ind w:left="720" w:hanging="360"/>
      </w:pPr>
      <w:rPr>
        <w:rFonts w:ascii="Arial" w:eastAsiaTheme="minorHAnsi" w:hAnsi="Arial" w:cs="Arial" w:hint="default"/>
      </w:rPr>
    </w:lvl>
    <w:lvl w:ilvl="1" w:tplc="5C0CB9B2" w:tentative="1">
      <w:start w:val="1"/>
      <w:numFmt w:val="bullet"/>
      <w:lvlText w:val="o"/>
      <w:lvlJc w:val="left"/>
      <w:pPr>
        <w:ind w:left="1440" w:hanging="360"/>
      </w:pPr>
      <w:rPr>
        <w:rFonts w:ascii="Courier New" w:hAnsi="Courier New" w:cs="Courier New" w:hint="default"/>
      </w:rPr>
    </w:lvl>
    <w:lvl w:ilvl="2" w:tplc="75D0456A" w:tentative="1">
      <w:start w:val="1"/>
      <w:numFmt w:val="bullet"/>
      <w:lvlText w:val=""/>
      <w:lvlJc w:val="left"/>
      <w:pPr>
        <w:ind w:left="2160" w:hanging="360"/>
      </w:pPr>
      <w:rPr>
        <w:rFonts w:ascii="Wingdings" w:hAnsi="Wingdings" w:hint="default"/>
      </w:rPr>
    </w:lvl>
    <w:lvl w:ilvl="3" w:tplc="7EBEC136" w:tentative="1">
      <w:start w:val="1"/>
      <w:numFmt w:val="bullet"/>
      <w:lvlText w:val=""/>
      <w:lvlJc w:val="left"/>
      <w:pPr>
        <w:ind w:left="2880" w:hanging="360"/>
      </w:pPr>
      <w:rPr>
        <w:rFonts w:ascii="Symbol" w:hAnsi="Symbol" w:hint="default"/>
      </w:rPr>
    </w:lvl>
    <w:lvl w:ilvl="4" w:tplc="EF72A758" w:tentative="1">
      <w:start w:val="1"/>
      <w:numFmt w:val="bullet"/>
      <w:lvlText w:val="o"/>
      <w:lvlJc w:val="left"/>
      <w:pPr>
        <w:ind w:left="3600" w:hanging="360"/>
      </w:pPr>
      <w:rPr>
        <w:rFonts w:ascii="Courier New" w:hAnsi="Courier New" w:cs="Courier New" w:hint="default"/>
      </w:rPr>
    </w:lvl>
    <w:lvl w:ilvl="5" w:tplc="78AA7400" w:tentative="1">
      <w:start w:val="1"/>
      <w:numFmt w:val="bullet"/>
      <w:lvlText w:val=""/>
      <w:lvlJc w:val="left"/>
      <w:pPr>
        <w:ind w:left="4320" w:hanging="360"/>
      </w:pPr>
      <w:rPr>
        <w:rFonts w:ascii="Wingdings" w:hAnsi="Wingdings" w:hint="default"/>
      </w:rPr>
    </w:lvl>
    <w:lvl w:ilvl="6" w:tplc="C72ED204" w:tentative="1">
      <w:start w:val="1"/>
      <w:numFmt w:val="bullet"/>
      <w:lvlText w:val=""/>
      <w:lvlJc w:val="left"/>
      <w:pPr>
        <w:ind w:left="5040" w:hanging="360"/>
      </w:pPr>
      <w:rPr>
        <w:rFonts w:ascii="Symbol" w:hAnsi="Symbol" w:hint="default"/>
      </w:rPr>
    </w:lvl>
    <w:lvl w:ilvl="7" w:tplc="6C928008" w:tentative="1">
      <w:start w:val="1"/>
      <w:numFmt w:val="bullet"/>
      <w:lvlText w:val="o"/>
      <w:lvlJc w:val="left"/>
      <w:pPr>
        <w:ind w:left="5760" w:hanging="360"/>
      </w:pPr>
      <w:rPr>
        <w:rFonts w:ascii="Courier New" w:hAnsi="Courier New" w:cs="Courier New" w:hint="default"/>
      </w:rPr>
    </w:lvl>
    <w:lvl w:ilvl="8" w:tplc="43488832" w:tentative="1">
      <w:start w:val="1"/>
      <w:numFmt w:val="bullet"/>
      <w:lvlText w:val=""/>
      <w:lvlJc w:val="left"/>
      <w:pPr>
        <w:ind w:left="6480" w:hanging="360"/>
      </w:pPr>
      <w:rPr>
        <w:rFonts w:ascii="Wingdings" w:hAnsi="Wingdings" w:hint="default"/>
      </w:rPr>
    </w:lvl>
  </w:abstractNum>
  <w:abstractNum w:abstractNumId="1" w15:restartNumberingAfterBreak="0">
    <w:nsid w:val="4B2A5CCD"/>
    <w:multiLevelType w:val="multilevel"/>
    <w:tmpl w:val="87264F18"/>
    <w:lvl w:ilvl="0">
      <w:start w:val="1"/>
      <w:numFmt w:val="decimal"/>
      <w:lvlText w:val="%1"/>
      <w:lvlJc w:val="left"/>
      <w:pPr>
        <w:tabs>
          <w:tab w:val="num" w:pos="709"/>
        </w:tabs>
        <w:ind w:left="709" w:hanging="567"/>
      </w:pPr>
      <w:rPr>
        <w:rFonts w:hint="default"/>
      </w:rPr>
    </w:lvl>
    <w:lvl w:ilvl="1">
      <w:start w:val="1"/>
      <w:numFmt w:val="decimal"/>
      <w:pStyle w:val="Heading2"/>
      <w:lvlText w:val="%2."/>
      <w:lvlJc w:val="left"/>
      <w:pPr>
        <w:tabs>
          <w:tab w:val="num" w:pos="567"/>
        </w:tabs>
        <w:ind w:left="567" w:hanging="567"/>
      </w:pPr>
      <w:rPr>
        <w:rFonts w:ascii="Calibri" w:eastAsia="Times New Roman" w:hAnsi="Calibri" w:cs="Times New Roman"/>
      </w:rPr>
    </w:lvl>
    <w:lvl w:ilvl="2">
      <w:start w:val="1"/>
      <w:numFmt w:val="decimal"/>
      <w:lvlText w:val="%1.%2.%3"/>
      <w:lvlJc w:val="left"/>
      <w:pPr>
        <w:tabs>
          <w:tab w:val="num" w:pos="4056"/>
        </w:tabs>
        <w:ind w:left="3260" w:hanging="284"/>
      </w:pPr>
      <w:rPr>
        <w:rFonts w:hint="default"/>
      </w:rPr>
    </w:lvl>
    <w:lvl w:ilvl="3">
      <w:start w:val="1"/>
      <w:numFmt w:val="decimal"/>
      <w:pStyle w:val="Heading4"/>
      <w:lvlText w:val="%1.%2.%3.%4"/>
      <w:lvlJc w:val="left"/>
      <w:pPr>
        <w:tabs>
          <w:tab w:val="num" w:pos="1440"/>
        </w:tabs>
        <w:ind w:left="284" w:hanging="28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 w15:restartNumberingAfterBreak="0">
    <w:nsid w:val="63F759CD"/>
    <w:multiLevelType w:val="hybridMultilevel"/>
    <w:tmpl w:val="6FF22088"/>
    <w:lvl w:ilvl="0" w:tplc="2496E792">
      <w:start w:val="1"/>
      <w:numFmt w:val="decimal"/>
      <w:lvlText w:val="%1."/>
      <w:lvlJc w:val="left"/>
      <w:pPr>
        <w:ind w:left="360" w:hanging="360"/>
      </w:pPr>
    </w:lvl>
    <w:lvl w:ilvl="1" w:tplc="4912CC78" w:tentative="1">
      <w:start w:val="1"/>
      <w:numFmt w:val="lowerLetter"/>
      <w:lvlText w:val="%2."/>
      <w:lvlJc w:val="left"/>
      <w:pPr>
        <w:ind w:left="1080" w:hanging="360"/>
      </w:pPr>
    </w:lvl>
    <w:lvl w:ilvl="2" w:tplc="B0F07D1E" w:tentative="1">
      <w:start w:val="1"/>
      <w:numFmt w:val="lowerRoman"/>
      <w:lvlText w:val="%3."/>
      <w:lvlJc w:val="right"/>
      <w:pPr>
        <w:ind w:left="1800" w:hanging="180"/>
      </w:pPr>
    </w:lvl>
    <w:lvl w:ilvl="3" w:tplc="5894A78C" w:tentative="1">
      <w:start w:val="1"/>
      <w:numFmt w:val="decimal"/>
      <w:lvlText w:val="%4."/>
      <w:lvlJc w:val="left"/>
      <w:pPr>
        <w:ind w:left="2520" w:hanging="360"/>
      </w:pPr>
    </w:lvl>
    <w:lvl w:ilvl="4" w:tplc="17384700" w:tentative="1">
      <w:start w:val="1"/>
      <w:numFmt w:val="lowerLetter"/>
      <w:lvlText w:val="%5."/>
      <w:lvlJc w:val="left"/>
      <w:pPr>
        <w:ind w:left="3240" w:hanging="360"/>
      </w:pPr>
    </w:lvl>
    <w:lvl w:ilvl="5" w:tplc="5F5CD52A" w:tentative="1">
      <w:start w:val="1"/>
      <w:numFmt w:val="lowerRoman"/>
      <w:lvlText w:val="%6."/>
      <w:lvlJc w:val="right"/>
      <w:pPr>
        <w:ind w:left="3960" w:hanging="180"/>
      </w:pPr>
    </w:lvl>
    <w:lvl w:ilvl="6" w:tplc="5512EC74" w:tentative="1">
      <w:start w:val="1"/>
      <w:numFmt w:val="decimal"/>
      <w:lvlText w:val="%7."/>
      <w:lvlJc w:val="left"/>
      <w:pPr>
        <w:ind w:left="4680" w:hanging="360"/>
      </w:pPr>
    </w:lvl>
    <w:lvl w:ilvl="7" w:tplc="D400A99E" w:tentative="1">
      <w:start w:val="1"/>
      <w:numFmt w:val="lowerLetter"/>
      <w:lvlText w:val="%8."/>
      <w:lvlJc w:val="left"/>
      <w:pPr>
        <w:ind w:left="5400" w:hanging="360"/>
      </w:pPr>
    </w:lvl>
    <w:lvl w:ilvl="8" w:tplc="AA865D60"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FF"/>
    <w:rsid w:val="000964FF"/>
    <w:rsid w:val="006C0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09BDC-C321-45C0-99DF-BA090CB4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D13B6C"/>
    <w:pPr>
      <w:keepNext/>
      <w:numPr>
        <w:ilvl w:val="1"/>
        <w:numId w:val="2"/>
      </w:numPr>
      <w:tabs>
        <w:tab w:val="clear" w:pos="567"/>
      </w:tabs>
      <w:autoSpaceDE w:val="0"/>
      <w:autoSpaceDN w:val="0"/>
      <w:adjustRightInd w:val="0"/>
      <w:spacing w:before="60" w:after="120" w:line="240" w:lineRule="auto"/>
      <w:ind w:left="0" w:firstLine="0"/>
      <w:jc w:val="both"/>
      <w:outlineLvl w:val="1"/>
    </w:pPr>
    <w:rPr>
      <w:rFonts w:ascii="Arial" w:eastAsia="Times New Roman" w:hAnsi="Arial" w:cs="Helvetica-Light"/>
      <w:b/>
      <w:bCs/>
      <w:color w:val="000000"/>
      <w:sz w:val="32"/>
      <w:szCs w:val="26"/>
      <w:lang w:eastAsia="en-GB"/>
    </w:rPr>
  </w:style>
  <w:style w:type="paragraph" w:styleId="Heading4">
    <w:name w:val="heading 4"/>
    <w:basedOn w:val="Normal"/>
    <w:next w:val="Normal"/>
    <w:link w:val="Heading4Char"/>
    <w:qFormat/>
    <w:rsid w:val="00D13B6C"/>
    <w:pPr>
      <w:keepNext/>
      <w:numPr>
        <w:ilvl w:val="3"/>
        <w:numId w:val="2"/>
      </w:numPr>
      <w:tabs>
        <w:tab w:val="clear" w:pos="1440"/>
      </w:tabs>
      <w:spacing w:before="240" w:after="60" w:line="240" w:lineRule="auto"/>
      <w:ind w:left="360" w:hanging="360"/>
      <w:outlineLvl w:val="3"/>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6C"/>
    <w:rPr>
      <w:rFonts w:ascii="Arial" w:eastAsia="Times New Roman" w:hAnsi="Arial" w:cs="Helvetica-Light"/>
      <w:b/>
      <w:bCs/>
      <w:color w:val="000000"/>
      <w:sz w:val="32"/>
      <w:szCs w:val="26"/>
      <w:lang w:eastAsia="en-GB"/>
    </w:rPr>
  </w:style>
  <w:style w:type="character" w:customStyle="1" w:styleId="Heading4Char">
    <w:name w:val="Heading 4 Char"/>
    <w:basedOn w:val="DefaultParagraphFont"/>
    <w:link w:val="Heading4"/>
    <w:rsid w:val="00D13B6C"/>
    <w:rPr>
      <w:rFonts w:ascii="Arial" w:eastAsia="Times New Roman" w:hAnsi="Arial" w:cs="Arial"/>
      <w:b/>
      <w:bCs/>
      <w:lang w:eastAsia="en-GB"/>
    </w:rPr>
  </w:style>
  <w:style w:type="paragraph" w:styleId="ListParagraph">
    <w:name w:val="List Paragraph"/>
    <w:basedOn w:val="Normal"/>
    <w:uiPriority w:val="34"/>
    <w:qFormat/>
    <w:rsid w:val="00D13B6C"/>
    <w:pPr>
      <w:ind w:left="720"/>
      <w:contextualSpacing/>
    </w:pPr>
  </w:style>
  <w:style w:type="paragraph" w:styleId="BalloonText">
    <w:name w:val="Balloon Text"/>
    <w:basedOn w:val="Normal"/>
    <w:link w:val="BalloonTextChar"/>
    <w:uiPriority w:val="99"/>
    <w:semiHidden/>
    <w:unhideWhenUsed/>
    <w:rsid w:val="005E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Ridings, Christopher</dc:creator>
  <cp:lastModifiedBy>Neville, Mike</cp:lastModifiedBy>
  <cp:revision>4</cp:revision>
  <dcterms:created xsi:type="dcterms:W3CDTF">2017-08-08T08:20:00Z</dcterms:created>
  <dcterms:modified xsi:type="dcterms:W3CDTF">2017-08-30T13:52:00Z</dcterms:modified>
</cp:coreProperties>
</file>